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bidi w:val="0"/>
        <w:spacing w:before="120" w:after="120"/>
        <w:jc w:val="left"/>
        <w:rPr>
          <w:rFonts w:ascii="Comfortaa" w:hAnsi="Comfortaa"/>
          <w:b w:val="false"/>
          <w:i w:val="false"/>
          <w:caps w:val="false"/>
          <w:smallCaps w:val="false"/>
          <w:color w:val="000000"/>
          <w:sz w:val="36"/>
        </w:rPr>
      </w:pPr>
      <w:bookmarkStart w:id="0" w:name="i-7"/>
      <w:bookmarkEnd w:id="0"/>
      <w:r>
        <w:rPr>
          <w:rFonts w:ascii="Comfortaa" w:hAnsi="Comfortaa"/>
          <w:b w:val="false"/>
          <w:i w:val="false"/>
          <w:caps w:val="false"/>
          <w:smallCaps w:val="false"/>
          <w:color w:val="000000"/>
          <w:sz w:val="36"/>
        </w:rPr>
        <w:t>Таблица: виды художественно-эстетической деятельности и их характеристика</w:t>
      </w:r>
    </w:p>
    <w:tbl>
      <w:tblPr>
        <w:tblW w:w="9638" w:type="dxa"/>
        <w:jc w:val="left"/>
        <w:tblInd w:w="0" w:type="dxa"/>
        <w:shd w:fill="F9F9F9" w:val="clear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1963"/>
        <w:gridCol w:w="5755"/>
      </w:tblGrid>
      <w:tr>
        <w:trPr/>
        <w:tc>
          <w:tcPr>
            <w:tcW w:w="3883" w:type="dxa"/>
            <w:gridSpan w:val="2"/>
            <w:tcBorders/>
            <w:shd w:fill="F9F9F9" w:val="clear"/>
            <w:vAlign w:val="center"/>
          </w:tcPr>
          <w:p>
            <w:pPr>
              <w:pStyle w:val="Style18"/>
              <w:bidi w:val="0"/>
              <w:jc w:val="center"/>
              <w:rPr/>
            </w:pPr>
            <w:r>
              <w:rPr/>
              <w:t>Вид деятельности</w:t>
            </w:r>
          </w:p>
        </w:tc>
        <w:tc>
          <w:tcPr>
            <w:tcW w:w="5755" w:type="dxa"/>
            <w:tcBorders/>
            <w:shd w:fill="F9F9F9" w:val="clear"/>
            <w:vAlign w:val="center"/>
          </w:tcPr>
          <w:p>
            <w:pPr>
              <w:pStyle w:val="Style18"/>
              <w:bidi w:val="0"/>
              <w:jc w:val="center"/>
              <w:rPr/>
            </w:pPr>
            <w:r>
              <w:rPr/>
              <w:t>Характеристика</w:t>
            </w:r>
          </w:p>
        </w:tc>
      </w:tr>
      <w:tr>
        <w:trPr/>
        <w:tc>
          <w:tcPr>
            <w:tcW w:w="1920" w:type="dxa"/>
            <w:vMerge w:val="restart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Изобразительная деятельность</w:t>
            </w:r>
          </w:p>
        </w:tc>
        <w:tc>
          <w:tcPr>
            <w:tcW w:w="1963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Рисование</w:t>
            </w:r>
          </w:p>
        </w:tc>
        <w:tc>
          <w:tcPr>
            <w:tcW w:w="5755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Является ведущим видом изобразительной деятельности в ДОУ. 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оттенков.</w:t>
            </w:r>
          </w:p>
        </w:tc>
      </w:tr>
      <w:tr>
        <w:trPr/>
        <w:tc>
          <w:tcPr>
            <w:tcW w:w="1920" w:type="dxa"/>
            <w:vMerge w:val="continue"/>
            <w:tcBorders/>
            <w:shd w:fill="F0F0F0" w:val="clear"/>
            <w:vAlign w:val="center"/>
          </w:tcPr>
          <w:p>
            <w:pPr>
              <w:pStyle w:val="Style18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63" w:type="dxa"/>
            <w:tcBorders/>
            <w:shd w:fill="F9F9F9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Лепка</w:t>
            </w:r>
          </w:p>
        </w:tc>
        <w:tc>
          <w:tcPr>
            <w:tcW w:w="5755" w:type="dxa"/>
            <w:tcBorders/>
            <w:shd w:fill="F9F9F9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В процессе лепки ребёнок осваивает процесс создания трёхмерного 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      </w:r>
          </w:p>
        </w:tc>
      </w:tr>
      <w:tr>
        <w:trPr/>
        <w:tc>
          <w:tcPr>
            <w:tcW w:w="1920" w:type="dxa"/>
            <w:vMerge w:val="continue"/>
            <w:tcBorders/>
            <w:shd w:fill="F0F0F0" w:val="clear"/>
            <w:vAlign w:val="center"/>
          </w:tcPr>
          <w:p>
            <w:pPr>
              <w:pStyle w:val="Style18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63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Конструирование и аппликация</w:t>
            </w:r>
          </w:p>
        </w:tc>
        <w:tc>
          <w:tcPr>
            <w:tcW w:w="5755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Занятия аппликацией и конструированием способствуют развитию чувства ритма. Дети создают композиции из нескольких или множественных элементов. Через этот вид изобразительной деятельности расширяются представления ребёнка о цвете и величине.</w:t>
            </w:r>
          </w:p>
        </w:tc>
      </w:tr>
      <w:tr>
        <w:trPr/>
        <w:tc>
          <w:tcPr>
            <w:tcW w:w="3883" w:type="dxa"/>
            <w:gridSpan w:val="2"/>
            <w:tcBorders/>
            <w:shd w:fill="F9F9F9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Музыкальная деятельность</w:t>
            </w:r>
          </w:p>
        </w:tc>
        <w:tc>
          <w:tcPr>
            <w:tcW w:w="5755" w:type="dxa"/>
            <w:tcBorders/>
            <w:shd w:fill="F9F9F9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Оптимальные условия для развития музыкальных способностей в детском саду достигаются посредством хорового пения. Во время коллективного исполнения песен положительные эмоции переживают все ребята, даже те, кто испытывает трудности в чистоте воспроизведения звука.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</w:t>
              <w:br/>
              <w:t>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игры.</w:t>
            </w:r>
          </w:p>
        </w:tc>
      </w:tr>
      <w:tr>
        <w:trPr/>
        <w:tc>
          <w:tcPr>
            <w:tcW w:w="3883" w:type="dxa"/>
            <w:gridSpan w:val="2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Театральная деятельность</w:t>
            </w:r>
          </w:p>
        </w:tc>
        <w:tc>
          <w:tcPr>
            <w:tcW w:w="5755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Дошкольный период образования осуществляет предэстетическое изучение театрального искусства. Поскольку ведущей формой деятельности у детей раннего возраста является игра, 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декораций.</w:t>
            </w:r>
          </w:p>
        </w:tc>
      </w:tr>
      <w:tr>
        <w:trPr/>
        <w:tc>
          <w:tcPr>
            <w:tcW w:w="3883" w:type="dxa"/>
            <w:gridSpan w:val="2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Художественно-речевая деятельность</w:t>
            </w:r>
          </w:p>
        </w:tc>
        <w:tc>
          <w:tcPr>
            <w:tcW w:w="5755" w:type="dxa"/>
            <w:tcBorders/>
            <w:shd w:fill="F0F0F0" w:val="clear"/>
            <w:vAlign w:val="center"/>
          </w:tcPr>
          <w:p>
            <w:pPr>
              <w:pStyle w:val="Style18"/>
              <w:suppressLineNumbers/>
              <w:bidi w:val="0"/>
              <w:jc w:val="left"/>
              <w:rPr/>
            </w:pPr>
            <w:r>
              <w:rPr/>
              <w:t>Знакомство с малыми жанрами устного народного творчества: пословицами и поговорками, загадками, потешками, закличками, частушками. Дети легко воспринимают фольклорные образы, их увлекает меткость поговорок и занимательность загадок.</w:t>
              <w:br/>
              <w:t>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и поощряется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forta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SimSun" w:cs="Lucida Sans"/>
      <w:b/>
      <w:bCs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2</Pages>
  <Words>340</Words>
  <Characters>2713</Characters>
  <CharactersWithSpaces>3037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2021-12-19T16:01:37Z</dcterms:created>
  <dc:creator/>
  <dc:description/>
  <dc:language>ru-RU</dc:language>
  <cp:lastModifiedBy/>
  <dcterms:modified xsi:type="dcterms:W3CDTF">2021-12-19T16:02:04Z</dcterms:modified>
  <cp:revision>1</cp:revision>
  <dc:subject/>
  <dc:title/>
</cp:coreProperties>
</file>